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kern w:val="0"/>
          <w:sz w:val="24"/>
          <w:szCs w:val="24"/>
          <w:lang w:eastAsia="en-US"/>
        </w:rPr>
      </w:pPr>
    </w:p>
    <w:p>
      <w:r>
        <w:object>
          <v:shape id="_x0000_i1025" o:spt="75" type="#_x0000_t75" style="height:551pt;width:490pt;" o:ole="t" fillcolor="#FFFFFF" filled="t" o:preferrelative="t" stroked="f" coordsize="21600,21600">
            <v:path/>
            <v:fill on="t" color2="#FFFFF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Prism6.Document" ShapeID="_x0000_i1025" DrawAspect="Content" ObjectID="_1468075725" r:id="rId4">
            <o:LockedField>false</o:LockedField>
          </o:OLEObject>
        </w:objec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default" w:ascii="Times New Roman" w:hAnsi="Times New Roman" w:eastAsia="等线" w:cs="Times New Roman"/>
          <w:b/>
          <w:bCs w:val="0"/>
          <w:sz w:val="20"/>
          <w:szCs w:val="20"/>
          <w:lang w:val="en-US" w:eastAsia="zh-CN" w:bidi="ar"/>
        </w:rPr>
        <w:t xml:space="preserve">Fig. S1 </w:t>
      </w:r>
      <w:r>
        <w:rPr>
          <w:rFonts w:hint="default" w:ascii="Times New Roman" w:hAnsi="Times New Roman" w:eastAsia="等线" w:cs="Times New Roman"/>
          <w:sz w:val="20"/>
          <w:szCs w:val="20"/>
          <w:lang w:val="en-US" w:eastAsia="zh-CN" w:bidi="ar"/>
        </w:rPr>
        <w:t>Kaplan-Meier survival estimates among cancer patients with nosocomial infections caused by ESBL-PE and non-ESBL-PE. (a) Bloodstream infection (22.2% vs. 17.4%; χ2=0.056, P=0.814). (b) Non-bloodstream infection (9.4% vs. 5.7%; χ2=0.511, P=0.475</w:t>
      </w:r>
      <w:bookmarkStart w:id="0" w:name="_GoBack"/>
      <w:bookmarkEnd w:id="0"/>
      <w:r>
        <w:rPr>
          <w:rFonts w:hint="default" w:ascii="Times New Roman" w:hAnsi="Times New Roman" w:eastAsia="等线" w:cs="Times New Roman"/>
          <w:sz w:val="20"/>
          <w:szCs w:val="20"/>
          <w:lang w:val="en-US" w:eastAsia="zh-CN" w:bidi="ar"/>
        </w:rPr>
        <w:t>). (c) Septic shock (25.9% vs. 21.7%; χ2=0.078, P=0.779). (d) Non-septic shock (8.6% vs. 4.6%; χ2=0.712, P=0.399)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1"/>
    <w:family w:val="auto"/>
    <w:pitch w:val="variable"/>
    <w:sig w:usb0="E00006FF" w:usb1="420024FF" w:usb2="02000000" w:usb3="00000000" w:csb0="200001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2DF"/>
    <w:rsid w:val="003D69FE"/>
    <w:rsid w:val="005B52DF"/>
    <w:rsid w:val="006D3518"/>
    <w:rsid w:val="0079189E"/>
    <w:rsid w:val="008937E8"/>
    <w:rsid w:val="00D8675D"/>
    <w:rsid w:val="118A7112"/>
    <w:rsid w:val="150F68D0"/>
    <w:rsid w:val="47133504"/>
    <w:rsid w:val="47F90B4C"/>
    <w:rsid w:val="4BAB023A"/>
    <w:rsid w:val="570E52B4"/>
    <w:rsid w:val="575D4D2B"/>
    <w:rsid w:val="667D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等线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319</Characters>
  <Lines>3</Lines>
  <Paragraphs>1</Paragraphs>
  <TotalTime>1</TotalTime>
  <ScaleCrop>false</ScaleCrop>
  <LinksUpToDate>false</LinksUpToDate>
  <CharactersWithSpaces>366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2019-11-14T08:39:00Z</dcterms:created>
  <dc:creator>Jiangaimin</dc:creator>
  <cp:lastModifiedBy>吾归去来兮</cp:lastModifiedBy>
  <dcterms:modified xsi:type="dcterms:W3CDTF">2019-12-02T13:16:27Z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